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82" w:rsidRDefault="005D3682" w:rsidP="005D3682">
      <w:pPr>
        <w:jc w:val="both"/>
        <w:rPr>
          <w:rFonts w:ascii="Arial" w:hAnsi="Arial" w:cs="Arial"/>
          <w:b/>
          <w:sz w:val="30"/>
          <w:szCs w:val="30"/>
        </w:rPr>
      </w:pPr>
    </w:p>
    <w:p w:rsidR="002C1FF5" w:rsidRPr="00767076" w:rsidRDefault="002C1FF5" w:rsidP="002C1FF5">
      <w:pPr>
        <w:jc w:val="center"/>
        <w:rPr>
          <w:rFonts w:ascii="Arial" w:hAnsi="Arial" w:cs="Arial"/>
          <w:b/>
          <w:sz w:val="30"/>
          <w:szCs w:val="30"/>
          <w:lang w:val="it-IT"/>
        </w:rPr>
      </w:pPr>
      <w:r w:rsidRPr="00767076">
        <w:rPr>
          <w:rFonts w:ascii="Arial" w:hAnsi="Arial"/>
          <w:b/>
          <w:sz w:val="30"/>
          <w:szCs w:val="30"/>
          <w:lang w:val="it-IT"/>
        </w:rPr>
        <w:t>TOTAL RAFFORZA LA SUA PRESENZA</w:t>
      </w:r>
      <w:r w:rsidRPr="00767076">
        <w:rPr>
          <w:rFonts w:ascii="Arial" w:hAnsi="Arial"/>
          <w:b/>
          <w:sz w:val="30"/>
          <w:szCs w:val="30"/>
          <w:lang w:val="it-IT"/>
        </w:rPr>
        <w:br/>
        <w:t>SUL MERCATO DEI LUBRIFICANTI INDUSTRIA</w:t>
      </w:r>
    </w:p>
    <w:p w:rsidR="002C1FF5" w:rsidRDefault="002C1FF5" w:rsidP="002C1FF5">
      <w:pPr>
        <w:jc w:val="both"/>
        <w:rPr>
          <w:rFonts w:ascii="Arial" w:hAnsi="Arial"/>
          <w:b/>
          <w:color w:val="FF0000"/>
          <w:lang w:val="it-IT"/>
        </w:rPr>
      </w:pPr>
    </w:p>
    <w:p w:rsidR="006E3A19" w:rsidRPr="006E3A19" w:rsidRDefault="006E3A19" w:rsidP="006E3A19">
      <w:pPr>
        <w:pStyle w:val="paragraph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sz w:val="22"/>
          <w:szCs w:val="22"/>
        </w:rPr>
        <w:t>Milano, 6 agosto 2019</w:t>
      </w:r>
      <w:r>
        <w:rPr>
          <w:rStyle w:val="normaltextrun1"/>
          <w:rFonts w:ascii="Arial" w:hAnsi="Arial" w:cs="Arial"/>
          <w:sz w:val="22"/>
          <w:szCs w:val="22"/>
        </w:rPr>
        <w:t xml:space="preserve"> – Total, attore principale nel mercato internazionale dei lubrificanti, annuncia l’acquisizione delle attività legate ai lubrificanti per laminazione a caldo dell’alluminio (AHRO), laminazione a freddo dell’acciaio (SCRO) e laminazione della latta (TPRO) di </w:t>
      </w:r>
      <w:proofErr w:type="spellStart"/>
      <w:r>
        <w:rPr>
          <w:rStyle w:val="normaltextrun1"/>
          <w:rFonts w:ascii="Arial" w:hAnsi="Arial" w:cs="Arial"/>
          <w:sz w:val="22"/>
          <w:szCs w:val="22"/>
        </w:rPr>
        <w:t>Houghton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> nello spazio economico europeo e nel Nord America. Questa operazione ingloba i servizi di supporto tecnico associati ai prodotti nelle due aree geografiche.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E3A19" w:rsidRPr="006E3A19" w:rsidRDefault="006E3A19" w:rsidP="006E3A19">
      <w:pPr>
        <w:pStyle w:val="paragraph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«Siamo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t xml:space="preserve"> convinti che questa acquisizione creerà del valore sia per Total che per i clienti di questi settori. Permetterà inoltre di rafforzare la nostra posizione sul mercato dei lubrificanti industria che rappresenta un asse importante della nostra visione strategica per il futuro</w:t>
      </w:r>
      <w:r>
        <w:rPr>
          <w:rStyle w:val="normaltextrun1"/>
          <w:rFonts w:ascii="Arial" w:hAnsi="Arial" w:cs="Arial"/>
          <w:sz w:val="22"/>
          <w:szCs w:val="22"/>
        </w:rPr>
        <w:t xml:space="preserve">. 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t>Geograficamente, l’operazione ci consente infatti di consolidare la nostra forte presenza in Europa e sviluppare le nostre attività e la nostra penetrazione nel mercato nord-americano, soprattutto negli Stati Uniti</w:t>
      </w:r>
      <w:r>
        <w:rPr>
          <w:rStyle w:val="normaltextrun1"/>
          <w:rFonts w:ascii="Arial" w:hAnsi="Arial" w:cs="Arial"/>
          <w:sz w:val="22"/>
          <w:szCs w:val="22"/>
        </w:rPr>
        <w:t xml:space="preserve">», ha dichiarato Philippe </w:t>
      </w:r>
      <w:proofErr w:type="spellStart"/>
      <w:r>
        <w:rPr>
          <w:rStyle w:val="normaltextrun1"/>
          <w:rFonts w:ascii="Arial" w:hAnsi="Arial" w:cs="Arial"/>
          <w:sz w:val="22"/>
          <w:szCs w:val="22"/>
        </w:rPr>
        <w:t>Charleux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>, Direttore Lubrificanti e Specialità della Divisione Marketing &amp; Services di Total.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E3A19" w:rsidRPr="006E3A19" w:rsidRDefault="006E3A19" w:rsidP="006E3A19">
      <w:pPr>
        <w:pStyle w:val="paragraph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“</w:t>
      </w:r>
      <w:r>
        <w:rPr>
          <w:rStyle w:val="normaltextrun1"/>
          <w:rFonts w:ascii="Arial" w:hAnsi="Arial" w:cs="Arial"/>
          <w:i/>
          <w:iCs/>
          <w:sz w:val="22"/>
          <w:szCs w:val="22"/>
        </w:rPr>
        <w:t>Con questa gamma di oli formulati esclusivamente per la laminazione a caldo e a freddo di prodotti di pulizia e di servizi di gestione dei fluidi associati, Total Italia completa il suo portafoglio in modo da proporre ai suoi clienti un’offerta interamente integrata nei settori dell’alluminio e dell’acciaio in Italia</w:t>
      </w:r>
      <w:r>
        <w:rPr>
          <w:rStyle w:val="normaltextrun1"/>
          <w:rFonts w:ascii="Arial" w:hAnsi="Arial" w:cs="Arial"/>
          <w:sz w:val="22"/>
          <w:szCs w:val="22"/>
        </w:rPr>
        <w:t>”, aggiunge Filippo Redaelli, Amministratore Delegato di Total Italia.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E3A19" w:rsidRDefault="006E3A19" w:rsidP="006E3A19">
      <w:pPr>
        <w:pStyle w:val="paragraph"/>
        <w:spacing w:line="276" w:lineRule="auto"/>
        <w:jc w:val="both"/>
        <w:textAlignment w:val="baseline"/>
      </w:pPr>
      <w:r>
        <w:rPr>
          <w:rStyle w:val="normaltextrun1"/>
          <w:rFonts w:ascii="Arial" w:hAnsi="Arial" w:cs="Arial"/>
          <w:sz w:val="22"/>
          <w:szCs w:val="22"/>
        </w:rPr>
        <w:t>Total fornisce da sempre soluzioni per la manutenzione nonché lubrificanti ad alto valore aggiunto al settore industriale, nel rispetto delle norme ambientali e di sicurezza più severe.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E3A19" w:rsidRDefault="006E3A19" w:rsidP="006E3A19">
      <w:pPr>
        <w:pStyle w:val="paragraph"/>
        <w:jc w:val="both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564F67" w:rsidRDefault="00564F67" w:rsidP="00FE0458">
      <w:pPr>
        <w:spacing w:before="128" w:line="206" w:lineRule="exact"/>
        <w:jc w:val="both"/>
        <w:textAlignment w:val="baseline"/>
        <w:rPr>
          <w:rFonts w:ascii="Arial" w:eastAsia="Arial" w:hAnsi="Arial" w:cs="Arial"/>
          <w:b/>
          <w:lang w:val="it-IT"/>
        </w:rPr>
      </w:pPr>
    </w:p>
    <w:p w:rsidR="00FE0458" w:rsidRPr="004111BA" w:rsidRDefault="00FE0458" w:rsidP="00FE0458">
      <w:pPr>
        <w:spacing w:before="128" w:line="206" w:lineRule="exact"/>
        <w:jc w:val="both"/>
        <w:textAlignment w:val="baseline"/>
        <w:rPr>
          <w:rFonts w:ascii="Arial" w:eastAsia="Arial" w:hAnsi="Arial" w:cs="Arial"/>
          <w:b/>
          <w:lang w:val="it-IT"/>
        </w:rPr>
      </w:pPr>
      <w:r w:rsidRPr="004111BA">
        <w:rPr>
          <w:rFonts w:ascii="Arial" w:eastAsia="Arial" w:hAnsi="Arial" w:cs="Arial"/>
          <w:b/>
          <w:lang w:val="it-IT"/>
        </w:rPr>
        <w:t>Total in Italia</w:t>
      </w:r>
    </w:p>
    <w:p w:rsidR="00FE0458" w:rsidRDefault="00FE0458" w:rsidP="00FE0458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Presente in Italia da oltre sessant’anni, il Gruppo oggi commercializza, attraverso le diverse società presenti, carburanti (per il settore Aviazione e, tramite la società </w:t>
      </w:r>
      <w:r>
        <w:rPr>
          <w:rFonts w:ascii="Arial" w:hAnsi="Arial" w:cs="Arial"/>
          <w:b/>
          <w:lang w:val="it-IT"/>
        </w:rPr>
        <w:t xml:space="preserve">AS24, </w:t>
      </w:r>
      <w:r>
        <w:rPr>
          <w:rFonts w:ascii="Arial" w:hAnsi="Arial" w:cs="Arial"/>
          <w:lang w:val="it-IT"/>
        </w:rPr>
        <w:t xml:space="preserve">per il traffico pesante), lubrificanti, fluidi e solventi speciali tramite la società </w:t>
      </w:r>
      <w:r w:rsidRPr="00A67FF1">
        <w:rPr>
          <w:rFonts w:ascii="Arial" w:hAnsi="Arial" w:cs="Arial"/>
          <w:b/>
          <w:lang w:val="it-IT"/>
        </w:rPr>
        <w:t>Total Italia</w:t>
      </w:r>
      <w:r>
        <w:rPr>
          <w:rFonts w:ascii="Arial" w:hAnsi="Arial" w:cs="Arial"/>
          <w:lang w:val="it-IT"/>
        </w:rPr>
        <w:t>. Total è anche operatore del campo petrolifero di Tempa Rossa.</w:t>
      </w:r>
    </w:p>
    <w:p w:rsidR="00FE0458" w:rsidRPr="002C1FF5" w:rsidRDefault="00FE0458" w:rsidP="002C1FF5">
      <w:pPr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altre filiali del Gruppo, </w:t>
      </w:r>
      <w:proofErr w:type="spellStart"/>
      <w:r>
        <w:rPr>
          <w:rFonts w:ascii="Arial" w:hAnsi="Arial" w:cs="Arial"/>
          <w:b/>
          <w:lang w:val="it-IT"/>
        </w:rPr>
        <w:t>Hutchinson</w:t>
      </w:r>
      <w:proofErr w:type="spellEnd"/>
      <w:r>
        <w:rPr>
          <w:rFonts w:ascii="Arial" w:hAnsi="Arial" w:cs="Arial"/>
          <w:lang w:val="it-IT"/>
        </w:rPr>
        <w:t xml:space="preserve"> e </w:t>
      </w:r>
      <w:proofErr w:type="spellStart"/>
      <w:r>
        <w:rPr>
          <w:rFonts w:ascii="Arial" w:hAnsi="Arial" w:cs="Arial"/>
          <w:b/>
          <w:lang w:val="it-IT"/>
        </w:rPr>
        <w:t>Gasket</w:t>
      </w:r>
      <w:proofErr w:type="spellEnd"/>
      <w:r>
        <w:rPr>
          <w:rFonts w:ascii="Arial" w:hAnsi="Arial" w:cs="Arial"/>
          <w:lang w:val="it-IT"/>
        </w:rPr>
        <w:t xml:space="preserve"> nel settore dei materiali, </w:t>
      </w:r>
      <w:proofErr w:type="spellStart"/>
      <w:r>
        <w:rPr>
          <w:rFonts w:ascii="Arial" w:hAnsi="Arial" w:cs="Arial"/>
          <w:b/>
          <w:lang w:val="it-IT"/>
        </w:rPr>
        <w:t>Saft</w:t>
      </w:r>
      <w:proofErr w:type="spellEnd"/>
      <w:r>
        <w:rPr>
          <w:rFonts w:ascii="Arial" w:hAnsi="Arial" w:cs="Arial"/>
          <w:lang w:val="it-IT"/>
        </w:rPr>
        <w:t xml:space="preserve"> nel settore delle batterie e </w:t>
      </w:r>
      <w:proofErr w:type="spellStart"/>
      <w:r>
        <w:rPr>
          <w:rFonts w:ascii="Arial" w:hAnsi="Arial" w:cs="Arial"/>
          <w:b/>
          <w:lang w:val="it-IT"/>
        </w:rPr>
        <w:t>Sunpower</w:t>
      </w:r>
      <w:proofErr w:type="spellEnd"/>
      <w:r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:rsidR="00FE0458" w:rsidRDefault="00FE0458" w:rsidP="00FE0458">
      <w:pPr>
        <w:pStyle w:val="Defaul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lastRenderedPageBreak/>
        <w:t>Il settore Marketing &amp; Servizi di Total</w:t>
      </w:r>
    </w:p>
    <w:p w:rsidR="00FE0458" w:rsidRDefault="00FE0458" w:rsidP="00FE0458">
      <w:pPr>
        <w:pStyle w:val="Defaul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:rsidR="00FE0458" w:rsidRDefault="00FE0458" w:rsidP="00FE0458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 xml:space="preserve">Total Marketing &amp; Servizi sviluppa e distribuisce prodotti provenienti principalmente dal petrolio nonché tutti i servizi che posso esservi associati. I suoi 31.000 collaboratori sono presenti in 110 paesi, le sue offerte di prodotti e di servizi commercializzati in 150 paesi. Total Marketing &amp; Servizi accoglie ogni giorno 8 milioni di clienti nella sua rete composta da oltre 16.000 stazioni di servizio in 65 paesi. 4° distributore mondiale di lubrificanti e 1° distributore di prodotti petroliferi in Africa, il settore Marketing &amp; Servizi di Total si avvale per il proprio sviluppo di 50 siti di produzione nel mondo dove vengono fabbricati lubrificanti, bitumi, additivi, carburanti e fluidi speciali. </w:t>
      </w:r>
    </w:p>
    <w:p w:rsidR="00FE0458" w:rsidRDefault="00FE0458" w:rsidP="00FE0458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FE0458" w:rsidRDefault="00FE0458" w:rsidP="00FE0458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Total </w:t>
      </w:r>
    </w:p>
    <w:p w:rsidR="00FE0458" w:rsidRDefault="00FE0458" w:rsidP="00FE0458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Total è un’importante compagnia del settore energetico, che produce e commercializza carburanti, gas naturale ed elettricità a basse emissioni di carbonio. I nostri 100.000 dipendenti 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:rsidR="00FE0458" w:rsidRDefault="00FE0458" w:rsidP="00A67499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* * * * *</w:t>
      </w:r>
    </w:p>
    <w:p w:rsidR="00FE0458" w:rsidRDefault="00FE0458" w:rsidP="00FE0458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Contatti Total Italia</w:t>
      </w:r>
    </w:p>
    <w:p w:rsidR="00FE0458" w:rsidRDefault="00FE0458" w:rsidP="00FE0458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FE0458" w:rsidRDefault="00BF183B" w:rsidP="00FE0458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hyperlink r:id="rId8" w:history="1">
        <w:r w:rsidRPr="00BF183B">
          <w:rPr>
            <w:rStyle w:val="Collegamentoipertestuale"/>
            <w:rFonts w:ascii="Arial" w:eastAsia="Arial" w:hAnsi="Arial"/>
            <w:lang w:val="it-IT"/>
          </w:rPr>
          <w:t>Ufficio Stampa</w:t>
        </w:r>
      </w:hyperlink>
      <w:bookmarkStart w:id="0" w:name="_GoBack"/>
      <w:bookmarkEnd w:id="0"/>
    </w:p>
    <w:p w:rsidR="00A67FF1" w:rsidRPr="00BF183B" w:rsidRDefault="00A67FF1" w:rsidP="00FE0458">
      <w:pPr>
        <w:spacing w:line="205" w:lineRule="exact"/>
        <w:textAlignment w:val="baseline"/>
        <w:rPr>
          <w:rStyle w:val="Collegamentoipertestuale"/>
          <w:rFonts w:ascii="Arial" w:hAnsi="Arial" w:cs="Arial"/>
          <w:lang w:val="it-IT"/>
        </w:rPr>
      </w:pPr>
      <w:r w:rsidRPr="00BF183B">
        <w:rPr>
          <w:rFonts w:ascii="Arial" w:eastAsia="Arial" w:hAnsi="Arial"/>
          <w:color w:val="000000"/>
          <w:lang w:val="it-IT"/>
        </w:rPr>
        <w:t xml:space="preserve">Sito web: </w:t>
      </w:r>
      <w:hyperlink r:id="rId9" w:history="1">
        <w:r w:rsidRPr="00BF183B">
          <w:rPr>
            <w:rStyle w:val="Collegamentoipertestuale"/>
            <w:rFonts w:ascii="Arial" w:hAnsi="Arial" w:cs="Arial"/>
            <w:lang w:val="it-IT"/>
          </w:rPr>
          <w:t>www.total.it</w:t>
        </w:r>
      </w:hyperlink>
    </w:p>
    <w:p w:rsidR="00A67FF1" w:rsidRPr="00BF183B" w:rsidRDefault="00A67FF1" w:rsidP="00FE0458">
      <w:pPr>
        <w:spacing w:line="205" w:lineRule="exact"/>
        <w:textAlignment w:val="baseline"/>
        <w:rPr>
          <w:rStyle w:val="Collegamentoipertestuale"/>
          <w:rFonts w:ascii="Arial" w:hAnsi="Arial" w:cs="Arial"/>
          <w:lang w:val="it-IT"/>
        </w:rPr>
      </w:pPr>
    </w:p>
    <w:p w:rsidR="00564F67" w:rsidRPr="00BF183B" w:rsidRDefault="00564F67" w:rsidP="00FE0458">
      <w:pPr>
        <w:spacing w:line="205" w:lineRule="exact"/>
        <w:textAlignment w:val="baseline"/>
        <w:rPr>
          <w:rStyle w:val="Collegamentoipertestuale"/>
          <w:rFonts w:ascii="Arial" w:hAnsi="Arial" w:cs="Arial"/>
          <w:lang w:val="it-IT"/>
        </w:rPr>
      </w:pPr>
    </w:p>
    <w:p w:rsidR="00FE0458" w:rsidRPr="00BF183B" w:rsidRDefault="00FE0458" w:rsidP="00FE0458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BF183B">
        <w:rPr>
          <w:rFonts w:ascii="Arial" w:eastAsia="Arial" w:hAnsi="Arial"/>
          <w:b/>
          <w:color w:val="000000"/>
          <w:lang w:val="it-IT"/>
        </w:rPr>
        <w:t>Nota</w:t>
      </w:r>
    </w:p>
    <w:p w:rsidR="00FE0458" w:rsidRDefault="00FE0458" w:rsidP="00FE0458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S.A. detiene direttamente o indirettamente una partecipazione sono persone morali distinte e autonome. TOTAL S.A. non si ritiene responsabilmente coinvolta per atti o omissioni provenienti dalle società sopracitate. I termini «Total», «Gruppo Total» che figurano in questo documento sono generici ed utilizzati unicamente a fini pratici con riferimento a TOTAL S.A. e/o alle sue filiali. Inoltre, i termini «noi», «nostri», «nostro» possono ugualmente essere utilizzati per fare riferimento alle filiali o ai loro collaboratori.</w:t>
      </w:r>
    </w:p>
    <w:p w:rsidR="00FE0458" w:rsidRPr="00A67499" w:rsidRDefault="00FE0458" w:rsidP="00A67499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S.A. né alcuna delle sue filiali possono ritenersi obbligate ad aggiornare pubblicamente qualsiasi previsione o dichiarazione, obiettivi o tendenze contenute in questo documento, a seguito di nuove informazioni, eventi futuri o altro. </w:t>
      </w:r>
    </w:p>
    <w:sectPr w:rsidR="00FE0458" w:rsidRPr="00A67499" w:rsidSect="00900F6E">
      <w:headerReference w:type="default" r:id="rId10"/>
      <w:headerReference w:type="first" r:id="rId1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6F" w:rsidRDefault="004E1D6F" w:rsidP="004B431B">
      <w:pPr>
        <w:spacing w:after="0" w:line="240" w:lineRule="auto"/>
      </w:pPr>
      <w:r>
        <w:separator/>
      </w:r>
    </w:p>
  </w:endnote>
  <w:endnote w:type="continuationSeparator" w:id="0">
    <w:p w:rsidR="004E1D6F" w:rsidRDefault="004E1D6F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Extende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6F" w:rsidRDefault="004E1D6F" w:rsidP="004B431B">
      <w:pPr>
        <w:spacing w:after="0" w:line="240" w:lineRule="auto"/>
      </w:pPr>
      <w:r>
        <w:separator/>
      </w:r>
    </w:p>
  </w:footnote>
  <w:footnote w:type="continuationSeparator" w:id="0">
    <w:p w:rsidR="004E1D6F" w:rsidRDefault="004E1D6F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60" w:rsidRDefault="00F608A0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>
      <w:rPr>
        <w:noProof/>
        <w:lang w:val="it-IT" w:eastAsia="zh-CN"/>
      </w:rPr>
      <w:drawing>
        <wp:inline distT="0" distB="0" distL="0" distR="0" wp14:anchorId="0E8A1711" wp14:editId="62A39927">
          <wp:extent cx="2038350" cy="504825"/>
          <wp:effectExtent l="0" t="0" r="0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>Total Italia</w:t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:rsidR="005C7760" w:rsidRPr="00A93DC6" w:rsidRDefault="005C7760" w:rsidP="005C7760">
    <w:pPr>
      <w:rPr>
        <w:rFonts w:ascii="HelveticaNeueLT Std Extended" w:hAnsi="HelveticaNeueLT Std Extended" w:cs="Arial"/>
        <w:b/>
        <w:noProof/>
        <w:color w:val="CC0000"/>
        <w:sz w:val="36"/>
        <w:szCs w:val="36"/>
        <w:vertAlign w:val="superscript"/>
        <w:lang w:eastAsia="fr-FR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</w:p>
  <w:p w:rsidR="005C7760" w:rsidRPr="005E2A14" w:rsidRDefault="005C7760" w:rsidP="005C7760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>
      <w:rPr>
        <w:rFonts w:ascii="HelveticaNeueLT Std Extended" w:hAnsi="HelveticaNeueLT Std Extended" w:cs="Arial"/>
        <w:b/>
        <w:noProof/>
        <w:color w:val="CC0000"/>
        <w:sz w:val="40"/>
        <w:szCs w:val="40"/>
        <w:vertAlign w:val="superscript"/>
        <w:lang w:eastAsia="fr-FR"/>
      </w:rPr>
      <w:tab/>
      <w:t xml:space="preserve">  </w:t>
    </w:r>
    <w:r w:rsidRPr="005E2A14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Co</w:t>
    </w:r>
    <w:r w:rsidR="00646336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municato Stampa</w:t>
    </w:r>
  </w:p>
  <w:p w:rsidR="005C7760" w:rsidRDefault="005C77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E571E9"/>
    <w:multiLevelType w:val="hybridMultilevel"/>
    <w:tmpl w:val="992A5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A0"/>
    <w:rsid w:val="0000082B"/>
    <w:rsid w:val="0003542E"/>
    <w:rsid w:val="00042DB2"/>
    <w:rsid w:val="00044641"/>
    <w:rsid w:val="00052DAA"/>
    <w:rsid w:val="0005372C"/>
    <w:rsid w:val="00056D31"/>
    <w:rsid w:val="000670F4"/>
    <w:rsid w:val="0007279E"/>
    <w:rsid w:val="000A238E"/>
    <w:rsid w:val="000A597C"/>
    <w:rsid w:val="000B4B8B"/>
    <w:rsid w:val="000D0404"/>
    <w:rsid w:val="000D314C"/>
    <w:rsid w:val="000D5939"/>
    <w:rsid w:val="000E2504"/>
    <w:rsid w:val="00124617"/>
    <w:rsid w:val="0012687A"/>
    <w:rsid w:val="001322DB"/>
    <w:rsid w:val="00182A05"/>
    <w:rsid w:val="001965E1"/>
    <w:rsid w:val="001B4700"/>
    <w:rsid w:val="001C6B30"/>
    <w:rsid w:val="001E4562"/>
    <w:rsid w:val="00205087"/>
    <w:rsid w:val="00213175"/>
    <w:rsid w:val="0021330E"/>
    <w:rsid w:val="00216E37"/>
    <w:rsid w:val="002219CB"/>
    <w:rsid w:val="002230A1"/>
    <w:rsid w:val="00224B2C"/>
    <w:rsid w:val="002363A4"/>
    <w:rsid w:val="00242C86"/>
    <w:rsid w:val="00282378"/>
    <w:rsid w:val="0028307E"/>
    <w:rsid w:val="002836F3"/>
    <w:rsid w:val="002A017F"/>
    <w:rsid w:val="002A27BE"/>
    <w:rsid w:val="002B1735"/>
    <w:rsid w:val="002B2CCD"/>
    <w:rsid w:val="002B5B7D"/>
    <w:rsid w:val="002C07AE"/>
    <w:rsid w:val="002C1FF5"/>
    <w:rsid w:val="002C5B6E"/>
    <w:rsid w:val="002D0E21"/>
    <w:rsid w:val="002D6D81"/>
    <w:rsid w:val="002D709B"/>
    <w:rsid w:val="002F3F32"/>
    <w:rsid w:val="0030155A"/>
    <w:rsid w:val="00306790"/>
    <w:rsid w:val="0033055A"/>
    <w:rsid w:val="0033748B"/>
    <w:rsid w:val="00356E30"/>
    <w:rsid w:val="0037168F"/>
    <w:rsid w:val="00373276"/>
    <w:rsid w:val="00393547"/>
    <w:rsid w:val="003A4151"/>
    <w:rsid w:val="003B3811"/>
    <w:rsid w:val="003B69CC"/>
    <w:rsid w:val="003C564E"/>
    <w:rsid w:val="003E04D9"/>
    <w:rsid w:val="003E26C5"/>
    <w:rsid w:val="004022E3"/>
    <w:rsid w:val="0040239A"/>
    <w:rsid w:val="004111BA"/>
    <w:rsid w:val="004153CE"/>
    <w:rsid w:val="00423DBD"/>
    <w:rsid w:val="00432BA3"/>
    <w:rsid w:val="004636FB"/>
    <w:rsid w:val="00466F87"/>
    <w:rsid w:val="004755A4"/>
    <w:rsid w:val="00485ED2"/>
    <w:rsid w:val="00487030"/>
    <w:rsid w:val="0049108E"/>
    <w:rsid w:val="004A31CF"/>
    <w:rsid w:val="004B431B"/>
    <w:rsid w:val="004B6320"/>
    <w:rsid w:val="004C1185"/>
    <w:rsid w:val="004C3C5D"/>
    <w:rsid w:val="004C4460"/>
    <w:rsid w:val="004E0E13"/>
    <w:rsid w:val="004E1D6F"/>
    <w:rsid w:val="004F2ABA"/>
    <w:rsid w:val="004F459F"/>
    <w:rsid w:val="00505A3D"/>
    <w:rsid w:val="005166B5"/>
    <w:rsid w:val="005167F5"/>
    <w:rsid w:val="00517F22"/>
    <w:rsid w:val="00551275"/>
    <w:rsid w:val="00557218"/>
    <w:rsid w:val="00564F67"/>
    <w:rsid w:val="00565AE4"/>
    <w:rsid w:val="00573402"/>
    <w:rsid w:val="0059158D"/>
    <w:rsid w:val="0059331E"/>
    <w:rsid w:val="00593B0A"/>
    <w:rsid w:val="00593EE2"/>
    <w:rsid w:val="005954A4"/>
    <w:rsid w:val="005A3E5F"/>
    <w:rsid w:val="005B0E18"/>
    <w:rsid w:val="005C7760"/>
    <w:rsid w:val="005D3682"/>
    <w:rsid w:val="005E2A14"/>
    <w:rsid w:val="005F6A2A"/>
    <w:rsid w:val="00604532"/>
    <w:rsid w:val="0061197D"/>
    <w:rsid w:val="00624563"/>
    <w:rsid w:val="00632BBD"/>
    <w:rsid w:val="006344CB"/>
    <w:rsid w:val="00634F64"/>
    <w:rsid w:val="006408A9"/>
    <w:rsid w:val="00645A43"/>
    <w:rsid w:val="00646336"/>
    <w:rsid w:val="00655562"/>
    <w:rsid w:val="00660BA6"/>
    <w:rsid w:val="00667CD7"/>
    <w:rsid w:val="0067787C"/>
    <w:rsid w:val="006935F5"/>
    <w:rsid w:val="006A6F6A"/>
    <w:rsid w:val="006A6FA3"/>
    <w:rsid w:val="006B19C3"/>
    <w:rsid w:val="006B6FA6"/>
    <w:rsid w:val="006C2CE5"/>
    <w:rsid w:val="006D740D"/>
    <w:rsid w:val="006E3A19"/>
    <w:rsid w:val="006E6A6C"/>
    <w:rsid w:val="00703BB7"/>
    <w:rsid w:val="00705219"/>
    <w:rsid w:val="0073228D"/>
    <w:rsid w:val="007343A6"/>
    <w:rsid w:val="0073689B"/>
    <w:rsid w:val="00743A3A"/>
    <w:rsid w:val="00747D9B"/>
    <w:rsid w:val="00760A1E"/>
    <w:rsid w:val="00761F65"/>
    <w:rsid w:val="007623E8"/>
    <w:rsid w:val="00764FB5"/>
    <w:rsid w:val="00770C9D"/>
    <w:rsid w:val="007725D8"/>
    <w:rsid w:val="007759A6"/>
    <w:rsid w:val="007805B5"/>
    <w:rsid w:val="007A44FC"/>
    <w:rsid w:val="007A5D9C"/>
    <w:rsid w:val="007C609A"/>
    <w:rsid w:val="007D6F40"/>
    <w:rsid w:val="007E422A"/>
    <w:rsid w:val="007F51F0"/>
    <w:rsid w:val="00800666"/>
    <w:rsid w:val="00807E3F"/>
    <w:rsid w:val="008153E3"/>
    <w:rsid w:val="00822392"/>
    <w:rsid w:val="00835D72"/>
    <w:rsid w:val="008613D4"/>
    <w:rsid w:val="008658D0"/>
    <w:rsid w:val="00865C72"/>
    <w:rsid w:val="00867911"/>
    <w:rsid w:val="008A16A3"/>
    <w:rsid w:val="008A27CC"/>
    <w:rsid w:val="008A7FDB"/>
    <w:rsid w:val="008B5CBD"/>
    <w:rsid w:val="008B7EEC"/>
    <w:rsid w:val="008D4E7D"/>
    <w:rsid w:val="008D6D0D"/>
    <w:rsid w:val="008E0707"/>
    <w:rsid w:val="00900F6E"/>
    <w:rsid w:val="00902C12"/>
    <w:rsid w:val="00904396"/>
    <w:rsid w:val="00923A81"/>
    <w:rsid w:val="00954216"/>
    <w:rsid w:val="00984C8F"/>
    <w:rsid w:val="00986285"/>
    <w:rsid w:val="00986F3F"/>
    <w:rsid w:val="00992AD6"/>
    <w:rsid w:val="009B68B5"/>
    <w:rsid w:val="009C576A"/>
    <w:rsid w:val="009E0E7A"/>
    <w:rsid w:val="009E7DD2"/>
    <w:rsid w:val="00A03253"/>
    <w:rsid w:val="00A04D79"/>
    <w:rsid w:val="00A2588D"/>
    <w:rsid w:val="00A260B9"/>
    <w:rsid w:val="00A51DFE"/>
    <w:rsid w:val="00A64DF1"/>
    <w:rsid w:val="00A67499"/>
    <w:rsid w:val="00A67FF1"/>
    <w:rsid w:val="00A713E9"/>
    <w:rsid w:val="00A72D20"/>
    <w:rsid w:val="00A736E8"/>
    <w:rsid w:val="00A93DC6"/>
    <w:rsid w:val="00AA4E59"/>
    <w:rsid w:val="00AA5B84"/>
    <w:rsid w:val="00AA6972"/>
    <w:rsid w:val="00AB4363"/>
    <w:rsid w:val="00AC413F"/>
    <w:rsid w:val="00AC6113"/>
    <w:rsid w:val="00AD1211"/>
    <w:rsid w:val="00AD1A42"/>
    <w:rsid w:val="00AD38CC"/>
    <w:rsid w:val="00AE4499"/>
    <w:rsid w:val="00AF7BB8"/>
    <w:rsid w:val="00B012CE"/>
    <w:rsid w:val="00B12323"/>
    <w:rsid w:val="00B37F3C"/>
    <w:rsid w:val="00B44CF0"/>
    <w:rsid w:val="00B73360"/>
    <w:rsid w:val="00B83D92"/>
    <w:rsid w:val="00B862B5"/>
    <w:rsid w:val="00B86876"/>
    <w:rsid w:val="00B9468F"/>
    <w:rsid w:val="00BA0FD6"/>
    <w:rsid w:val="00BA16F6"/>
    <w:rsid w:val="00BB20E2"/>
    <w:rsid w:val="00BB2769"/>
    <w:rsid w:val="00BB502A"/>
    <w:rsid w:val="00BD5DF2"/>
    <w:rsid w:val="00BE2FDF"/>
    <w:rsid w:val="00BF183B"/>
    <w:rsid w:val="00BF1C81"/>
    <w:rsid w:val="00BF3443"/>
    <w:rsid w:val="00BF3E73"/>
    <w:rsid w:val="00BF4AC8"/>
    <w:rsid w:val="00C000C0"/>
    <w:rsid w:val="00C073BD"/>
    <w:rsid w:val="00C32E43"/>
    <w:rsid w:val="00C36A82"/>
    <w:rsid w:val="00C4496C"/>
    <w:rsid w:val="00C538CB"/>
    <w:rsid w:val="00C6734D"/>
    <w:rsid w:val="00C70604"/>
    <w:rsid w:val="00C73C6B"/>
    <w:rsid w:val="00C8393C"/>
    <w:rsid w:val="00C97887"/>
    <w:rsid w:val="00CB00EC"/>
    <w:rsid w:val="00CB600A"/>
    <w:rsid w:val="00CC439B"/>
    <w:rsid w:val="00CD31E0"/>
    <w:rsid w:val="00CE009E"/>
    <w:rsid w:val="00CE0702"/>
    <w:rsid w:val="00CE2FB2"/>
    <w:rsid w:val="00CF1820"/>
    <w:rsid w:val="00D10A13"/>
    <w:rsid w:val="00D10E33"/>
    <w:rsid w:val="00D31702"/>
    <w:rsid w:val="00D60A0B"/>
    <w:rsid w:val="00D63C16"/>
    <w:rsid w:val="00D703DF"/>
    <w:rsid w:val="00D773C8"/>
    <w:rsid w:val="00D83818"/>
    <w:rsid w:val="00D93012"/>
    <w:rsid w:val="00DB3461"/>
    <w:rsid w:val="00DE4576"/>
    <w:rsid w:val="00DF0238"/>
    <w:rsid w:val="00DF14F9"/>
    <w:rsid w:val="00E010AB"/>
    <w:rsid w:val="00E01E37"/>
    <w:rsid w:val="00E07F9C"/>
    <w:rsid w:val="00E17C85"/>
    <w:rsid w:val="00E41FA2"/>
    <w:rsid w:val="00E56313"/>
    <w:rsid w:val="00E56489"/>
    <w:rsid w:val="00E60834"/>
    <w:rsid w:val="00E62836"/>
    <w:rsid w:val="00E646BC"/>
    <w:rsid w:val="00E67FCE"/>
    <w:rsid w:val="00E73FE5"/>
    <w:rsid w:val="00E77478"/>
    <w:rsid w:val="00E82B3E"/>
    <w:rsid w:val="00EC640E"/>
    <w:rsid w:val="00ED2417"/>
    <w:rsid w:val="00ED38F4"/>
    <w:rsid w:val="00EE63D6"/>
    <w:rsid w:val="00EE7994"/>
    <w:rsid w:val="00F1416C"/>
    <w:rsid w:val="00F238D7"/>
    <w:rsid w:val="00F23FB5"/>
    <w:rsid w:val="00F32340"/>
    <w:rsid w:val="00F434A7"/>
    <w:rsid w:val="00F45619"/>
    <w:rsid w:val="00F608A0"/>
    <w:rsid w:val="00F60B6F"/>
    <w:rsid w:val="00F645FF"/>
    <w:rsid w:val="00F77493"/>
    <w:rsid w:val="00F84DF1"/>
    <w:rsid w:val="00F922A8"/>
    <w:rsid w:val="00F95F9B"/>
    <w:rsid w:val="00FA42C4"/>
    <w:rsid w:val="00FB7B45"/>
    <w:rsid w:val="00FD1C60"/>
    <w:rsid w:val="00FE0458"/>
    <w:rsid w:val="00FE62E2"/>
    <w:rsid w:val="00FE7AB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6119BBB-1B57-47ED-8CC8-5E03318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14F9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6E3A19"/>
    <w:pPr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zh-CN"/>
    </w:rPr>
  </w:style>
  <w:style w:type="character" w:customStyle="1" w:styleId="normaltextrun1">
    <w:name w:val="normaltextrun1"/>
    <w:basedOn w:val="Carpredefinitoparagrafo"/>
    <w:rsid w:val="006E3A19"/>
  </w:style>
  <w:style w:type="character" w:customStyle="1" w:styleId="eop">
    <w:name w:val="eop"/>
    <w:basedOn w:val="Carpredefinitoparagrafo"/>
    <w:rsid w:val="006E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clienti.total.it/med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main.glb.corp.local\RM-MIL$\Home\Home-MIL-4\J0125444\Desktop\www.tota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112F-C7E2-426E-B765-6B5B6D2C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TOTAL</Company>
  <LinksUpToDate>false</LinksUpToDate>
  <CharactersWithSpaces>4935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\\main.glb.corp.local\RM-MIL$\Home\Home-MIL-4\J0125444\Desktop\www.total.it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X22153</dc:creator>
  <cp:lastModifiedBy>Caterina MISSANELLI</cp:lastModifiedBy>
  <cp:revision>5</cp:revision>
  <cp:lastPrinted>2019-02-11T08:31:00Z</cp:lastPrinted>
  <dcterms:created xsi:type="dcterms:W3CDTF">2019-08-06T08:23:00Z</dcterms:created>
  <dcterms:modified xsi:type="dcterms:W3CDTF">2019-08-06T15:24:00Z</dcterms:modified>
</cp:coreProperties>
</file>